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0E" w:rsidRPr="00EC020E" w:rsidRDefault="00EC020E" w:rsidP="004A2E1A">
      <w:pPr>
        <w:shd w:val="clear" w:color="auto" w:fill="FFFFFF"/>
        <w:spacing w:before="15" w:after="15" w:line="333" w:lineRule="atLeast"/>
        <w:ind w:left="496" w:right="496"/>
        <w:jc w:val="center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bookmarkStart w:id="0" w:name="_GoBack"/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ПАМЯТКА ДЛЯ ДЕТЕЙ, РОДИТЕЛЕЙ, ПЕДАГОГОВ</w:t>
      </w:r>
    </w:p>
    <w:p w:rsidR="00EC020E" w:rsidRPr="00EC020E" w:rsidRDefault="00EC020E" w:rsidP="004A2E1A">
      <w:pPr>
        <w:shd w:val="clear" w:color="auto" w:fill="FFFFFF"/>
        <w:spacing w:after="0" w:line="333" w:lineRule="atLeast"/>
        <w:ind w:left="496" w:right="496"/>
        <w:jc w:val="center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inherit" w:eastAsia="Times New Roman" w:hAnsi="inherit" w:cs="Helvetic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ПОМОЩЬ НЕСОВЕРШЕНОЛЕТНИМ,</w:t>
      </w:r>
    </w:p>
    <w:p w:rsidR="00EC020E" w:rsidRPr="00EC020E" w:rsidRDefault="00EC020E" w:rsidP="004A2E1A">
      <w:pPr>
        <w:shd w:val="clear" w:color="auto" w:fill="FFFFFF"/>
        <w:spacing w:after="0" w:line="333" w:lineRule="atLeast"/>
        <w:ind w:left="496" w:right="496"/>
        <w:jc w:val="center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inherit" w:eastAsia="Times New Roman" w:hAnsi="inherit" w:cs="Helvetic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ПРИЗНАННЫМ ПОТЕРПЕВШИМИ В РАМКАХ</w:t>
      </w:r>
    </w:p>
    <w:p w:rsidR="00EC020E" w:rsidRPr="00EC020E" w:rsidRDefault="00EC020E" w:rsidP="004A2E1A">
      <w:pPr>
        <w:shd w:val="clear" w:color="auto" w:fill="FFFFFF"/>
        <w:spacing w:after="0" w:line="333" w:lineRule="atLeast"/>
        <w:ind w:left="496" w:right="496"/>
        <w:jc w:val="center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inherit" w:eastAsia="Times New Roman" w:hAnsi="inherit" w:cs="Helvetic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УГОЛОВНОГО СУДОПРОИЗВОДСТВА</w:t>
      </w:r>
      <w:bookmarkEnd w:id="0"/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С 01 января 2011 года вступил в силу Закон Ставропольского края от 11 ноября 2010 года № 94-кз «О дополнительных гарантиях защиты прав несовершеннолетних, признанных потерпевшими в рамках уголовного судопроизводства» (далее – Закон), который предполагает оказание бесплатной психологической и юридической помощи.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В рамках реализации Закона утвержден перечень государственных учреждений и организаций, подведомственных министерству образования Ставропольского края, министерству здравоохранения Ставропольского края, министерству труда и социальной защиты населения Ставропольского края (далее – организации), на базе которых осуществляется бесплатная психологическая помощь несовершеннолетним, признанным потерпевшими в рамках уголовного судопроизводства.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Оказание психологической помощи несовершеннолетним осуществляется специалистами организаций бесплатно на основании обращения несовершеннолетнего, его родителя (законного представителя) или по направлению комиссии по делам несовершеннолетних и защите их прав.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В большинстве случаев посттравматический стресс проявляется примерно через три месяца после травмирующего события. В некоторых случаях признаки посттравматического стресса проявляются лишь спустя годы. При этом чувства ребенка могут быть латентны (скрыты). Вот почему так важно обратиться за помощью к специалисту, даже если ребенок не жалуется и не проявляет видимых признаков беспокойства.</w:t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inherit" w:eastAsia="Times New Roman" w:hAnsi="inherit" w:cs="Helvetic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Обратитесь к квалифицированному специалисту!!!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 xml:space="preserve">Педагог-психолог определит оптимальные направления и формы работы с учетом индивидуальных особенностей ребенка, что позволит создать условия для преодоления им последствий кризисной ситуации, актуализации его </w:t>
      </w:r>
      <w:proofErr w:type="spellStart"/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внутриличностных</w:t>
      </w:r>
      <w:proofErr w:type="spellEnd"/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 xml:space="preserve"> ресурсов.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Не игнорируйте ситуацию.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Даже, если Ваш сын или дочь отказываются от помощи, уделяйте ему больше внимания, чем обычно.</w:t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inherit" w:eastAsia="Times New Roman" w:hAnsi="inherit" w:cs="Helvetic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Что делать, если подросток оказался потерпевшим</w:t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inherit" w:eastAsia="Times New Roman" w:hAnsi="inherit" w:cs="Helvetic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 переживает кризисную ситуацию:</w:t>
      </w:r>
    </w:p>
    <w:p w:rsidR="00EC020E" w:rsidRPr="00EC020E" w:rsidRDefault="00EC020E" w:rsidP="00EC020E">
      <w:pPr>
        <w:numPr>
          <w:ilvl w:val="0"/>
          <w:numId w:val="1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Важно сохранять контакт с ребенком, несмотря на потребность в отделении от родителей</w:t>
      </w:r>
    </w:p>
    <w:p w:rsidR="00EC020E" w:rsidRPr="00EC020E" w:rsidRDefault="00EC020E" w:rsidP="00EC020E">
      <w:pPr>
        <w:numPr>
          <w:ilvl w:val="0"/>
          <w:numId w:val="1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Говорить о перспективах в жизни и будущем</w:t>
      </w:r>
    </w:p>
    <w:p w:rsidR="00EC020E" w:rsidRPr="00EC020E" w:rsidRDefault="00EC020E" w:rsidP="00EC020E">
      <w:pPr>
        <w:numPr>
          <w:ilvl w:val="0"/>
          <w:numId w:val="1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Говорить на серьезные темы, такие как жизнь, смысл жизни, дружба, любовь, смерть, предательство</w:t>
      </w:r>
    </w:p>
    <w:p w:rsidR="00EC020E" w:rsidRPr="00EC020E" w:rsidRDefault="00EC020E" w:rsidP="00EC020E">
      <w:pPr>
        <w:numPr>
          <w:ilvl w:val="0"/>
          <w:numId w:val="1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Проявить любовь и заботу, понять, что стоит за внешней грубостью подростка</w:t>
      </w:r>
    </w:p>
    <w:p w:rsidR="00EC020E" w:rsidRPr="00EC020E" w:rsidRDefault="00EC020E" w:rsidP="00EC020E">
      <w:pPr>
        <w:numPr>
          <w:ilvl w:val="0"/>
          <w:numId w:val="1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lastRenderedPageBreak/>
        <w:t>Найти баланс между предоставлением свободы и родительским руководством</w:t>
      </w:r>
    </w:p>
    <w:p w:rsidR="00EC020E" w:rsidRPr="00EC020E" w:rsidRDefault="00EC020E" w:rsidP="00EC020E">
      <w:pPr>
        <w:shd w:val="clear" w:color="auto" w:fill="FFFFFF"/>
        <w:spacing w:after="24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noProof/>
          <w:color w:val="111111"/>
          <w:sz w:val="23"/>
          <w:szCs w:val="23"/>
          <w:lang w:eastAsia="ru-RU"/>
        </w:rPr>
        <w:drawing>
          <wp:inline distT="0" distB="0" distL="0" distR="0" wp14:anchorId="33437EA6" wp14:editId="46A4AC9C">
            <wp:extent cx="5715000" cy="3810000"/>
            <wp:effectExtent l="0" t="0" r="0" b="0"/>
            <wp:docPr id="1" name="Рисунок 1" descr="http://sh11.nevinsk.ru/wp-content/uploads/2022/06/p105_133463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11.nevinsk.ru/wp-content/uploads/2022/06/p105_13346309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inherit" w:eastAsia="Times New Roman" w:hAnsi="inherit" w:cs="Helvetic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Защита прав несовершеннолетних детей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Несовершеннолетние дети взяты под охрану государства и обладают следующими правами:</w:t>
      </w:r>
    </w:p>
    <w:p w:rsidR="00EC020E" w:rsidRPr="00EC020E" w:rsidRDefault="00EC020E" w:rsidP="00EC020E">
      <w:pPr>
        <w:numPr>
          <w:ilvl w:val="0"/>
          <w:numId w:val="3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Жить и воспитываться в семье</w:t>
      </w:r>
    </w:p>
    <w:p w:rsidR="00EC020E" w:rsidRPr="00EC020E" w:rsidRDefault="00EC020E" w:rsidP="00EC020E">
      <w:pPr>
        <w:numPr>
          <w:ilvl w:val="0"/>
          <w:numId w:val="3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Общаться с родителями и другими родственниками</w:t>
      </w:r>
    </w:p>
    <w:p w:rsidR="00EC020E" w:rsidRPr="00EC020E" w:rsidRDefault="00EC020E" w:rsidP="00EC020E">
      <w:pPr>
        <w:numPr>
          <w:ilvl w:val="0"/>
          <w:numId w:val="3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Защищать свои права</w:t>
      </w:r>
    </w:p>
    <w:p w:rsidR="00EC020E" w:rsidRPr="00EC020E" w:rsidRDefault="00EC020E" w:rsidP="00EC020E">
      <w:pPr>
        <w:numPr>
          <w:ilvl w:val="0"/>
          <w:numId w:val="3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Выражать своё мнение</w:t>
      </w:r>
    </w:p>
    <w:p w:rsidR="00EC020E" w:rsidRPr="00EC020E" w:rsidRDefault="00EC020E" w:rsidP="00EC020E">
      <w:pPr>
        <w:numPr>
          <w:ilvl w:val="0"/>
          <w:numId w:val="3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Право на имя, отчество и фамилию</w:t>
      </w:r>
    </w:p>
    <w:p w:rsidR="00EC020E" w:rsidRPr="00EC020E" w:rsidRDefault="00EC020E" w:rsidP="00EC020E">
      <w:pPr>
        <w:numPr>
          <w:ilvl w:val="0"/>
          <w:numId w:val="3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Изменение фамилии и имени</w:t>
      </w:r>
    </w:p>
    <w:p w:rsidR="00EC020E" w:rsidRPr="00EC020E" w:rsidRDefault="00EC020E" w:rsidP="00EC020E">
      <w:pPr>
        <w:numPr>
          <w:ilvl w:val="0"/>
          <w:numId w:val="3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Право на имущество</w:t>
      </w:r>
    </w:p>
    <w:p w:rsidR="00EC020E" w:rsidRPr="00EC020E" w:rsidRDefault="00EC020E" w:rsidP="00EC020E">
      <w:pPr>
        <w:numPr>
          <w:ilvl w:val="0"/>
          <w:numId w:val="3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Право на медицинское обслуживание</w:t>
      </w:r>
    </w:p>
    <w:p w:rsidR="00EC020E" w:rsidRPr="00EC020E" w:rsidRDefault="00EC020E" w:rsidP="00EC020E">
      <w:pPr>
        <w:numPr>
          <w:ilvl w:val="0"/>
          <w:numId w:val="3"/>
        </w:numPr>
        <w:shd w:val="clear" w:color="auto" w:fill="FFFFFF"/>
        <w:spacing w:after="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Право на образование и другие.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В современном обществе эти права часто нарушаются, родителями, государством, а зачастую и сверстниками, которые постоянно ищут объект для издевательств среди себе подобных.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Семейный Кодекс РФ говорит о том, что несовершеннолетние дети имеют право на защиту от злоупотреблений со стороны родителей. Защита прав и законных интересов несовершеннолетних детей осуществляются родителями, а в случаях, предусмотренных Семейным кодексом органом опеки и попечительства, прокурором, судом.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 xml:space="preserve">Уголовный Кодекс РФ предусматривает уголовную ответственность за неисполнение обязанностей по воспитанию несовершеннолетних детей, если </w:t>
      </w: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lastRenderedPageBreak/>
        <w:t>это деяние соединено с жестоким обращением с несовершеннолетними. Жестокое обращение может выражаться в непредставлении несовершеннолетнему питания, запирании в помещении одного на долгое время, систематическом унижении его достоинства, издевательствах, нанесении побоев.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Жестокое обращение с детьми, покушение на их половую неприкосновенность является основанием для уголовной ответственности.</w:t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inherit" w:eastAsia="Times New Roman" w:hAnsi="inherit" w:cs="Helvetic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Как осуществляется защита прав несовершеннолетних детей?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Защита прав детей в административном порядке осуществляется прокуратурой, органами внутренних дел и органами опеки и попечительства.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Прокуратура, защищая права детей, использует следующие способы: предъявление иска о лишении родительских прав, ограничении в родительских правах, об отмене усыновления ребенка; предъявление в суд, орган опеки и попечительства заявления с требованием о восстановлении нарушенного права ребенка; непосредственно участвует в рассмотрении судом дел о защите прав ребенка; вносит предостережения о недопустимости нарушения прав ребенка в дальнейшем и представления об устранении нарушений закона; опротестовывает акты других административных органов, имеющих прямое отношение к защите прав детей.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Органы внутренних дел участвуют в принудительном исполнении решений, связанных с отобранием ребенка, а также в розыске лиц, уклоняющихся от исполнения судебных решений по спорам, связанным с воспитанием детей. Также ОВД проводят индивидуальную профилактическую работу с семьями, в которых нарушаются права ребенка; с</w:t>
      </w:r>
      <w:r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 xml:space="preserve"> родителями, не исполняющими</w:t>
      </w: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 xml:space="preserve"> свои обязанности по воспитанию, обучению или содержанию несовершеннолетних детей; участвуют в выявлении фактов нарушения прав ребенка в семье; в необходимых случаях осуществляют подготовку дел по лишению и ограничению родительских прав.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Защита прав ребенка в семье входит также в компетенцию комиссии по делам несовершеннолетних и защите их прав. В обязанности этих комиссий входит: предъявление в суд иска о лишении и ограничении родительских прав; осуществление мер по защите и восстановлению прав и законных интересов ребенка, выявлению и устранению причин и условий, способствующих их безнадзорности, беспризорности; организация, в случае необходимости, контроля за условиями воспитания, обучения, содержания несовершеннолетних детей; подготовка материалов, представляемых в суд по вопросам, связанным с защитой прав ребенка в семье.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 xml:space="preserve">Органы опеки и попечительства выявляют детей, оставшихся без попечения родителей, ведут учет таких детей и исходя из конкретных обстоятельств утраты попечения родителей избирают формы их устройства, а также осуществляют последующий контроль за условиями их содержания, воспитания и образования. Помимо этого, органы опеки и попечительства: предъявляют иск о лишении родительских прав, ограничении родительских </w:t>
      </w: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lastRenderedPageBreak/>
        <w:t>прав, выступают в роли ответчика по делам о восстановлении в родительских правах, отмене ограничения родительских прав, дают заключения по делам, связанным с установлением усыновления, отменой усыновления, дают заключения по спорам, связанным с воспитанием ребенка в семье, участвуют в исполнении решений суда по делам, связанным с воспитанием детей.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В настоящее время в большинстве органов опеки и попечительства всю работу по защите прав несовершеннолетних выполняет как правило один специалист (инспектор) по охране детства. Это приводит к тому, что удается выполнять только самую неотложную работу, как правило связанную с представительством интересов несовершеннолетнего в суде, подготовкой заключений (зачастую непрофессиональных, в связи с отсутствием необходимых для этого навыков и знаний), по запросу суда и т.д. Таким образом у органов опеки и попечительства нет возможности защищать права детей должным образом.</w:t>
      </w:r>
    </w:p>
    <w:p w:rsidR="00EC020E" w:rsidRPr="00EC020E" w:rsidRDefault="00EC020E" w:rsidP="00EC020E">
      <w:pPr>
        <w:numPr>
          <w:ilvl w:val="0"/>
          <w:numId w:val="4"/>
        </w:numPr>
        <w:shd w:val="clear" w:color="auto" w:fill="FFFFFF"/>
        <w:spacing w:after="240" w:line="333" w:lineRule="atLeast"/>
        <w:ind w:left="496" w:right="496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noProof/>
          <w:color w:val="111111"/>
          <w:sz w:val="23"/>
          <w:szCs w:val="23"/>
          <w:lang w:eastAsia="ru-RU"/>
        </w:rPr>
        <w:drawing>
          <wp:inline distT="0" distB="0" distL="0" distR="0" wp14:anchorId="3F5E828B" wp14:editId="2CDD4642">
            <wp:extent cx="3810000" cy="2790825"/>
            <wp:effectExtent l="0" t="0" r="0" b="9525"/>
            <wp:docPr id="2" name="Рисунок 2" descr="http://sh11.nevinsk.ru/wp-content/uploads/2022/06/p105_s3268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11.nevinsk.ru/wp-content/uploads/2022/06/p105_s326884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inherit" w:eastAsia="Times New Roman" w:hAnsi="inherit" w:cs="Helvetic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Права несовершеннолетних детей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3. 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4. 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 </w:t>
      </w:r>
      <w:hyperlink r:id="rId7" w:anchor="618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главой 18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настоящего Кодекса.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 xml:space="preserve">5. Ребенок имеет право на общение с обоими родителями, дедушкой, бабушкой, братьями, сестрами и другими родственниками. Расторжение </w:t>
      </w: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lastRenderedPageBreak/>
        <w:t>брака родителей, признание его недействительным или раздельное проживание родителей не влияют на права ребенка.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6. 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7.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8. Ребенок имеет право на защиту своих прав и законных интересов.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9. 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10. 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11. Ребенок имеет право на защиту от злоупотреблений со стороны родителей (лиц, их заменяющих).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12.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13.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14.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</w:t>
      </w:r>
      <w:hyperlink r:id="rId8" w:anchor="59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статьи 59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, </w:t>
      </w:r>
      <w:hyperlink r:id="rId9" w:anchor="72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72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, </w:t>
      </w:r>
      <w:hyperlink r:id="rId10" w:anchor="132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132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, </w:t>
      </w:r>
      <w:hyperlink r:id="rId11" w:anchor="134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134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, </w:t>
      </w:r>
      <w:hyperlink r:id="rId12" w:anchor="136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136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, </w:t>
      </w:r>
      <w:hyperlink r:id="rId13" w:anchor="143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143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, </w:t>
      </w:r>
      <w:hyperlink r:id="rId14" w:anchor="145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145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15. Ребенок имеет право на имя, отчество и фамилию.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16.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lastRenderedPageBreak/>
        <w:t>17.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18. При отсутствии соглашения между родителями относительно имени и(или) фамилии ребенка возникшие разногласия разрешаются органом опеки и попечительства.</w:t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19. Если отцовство не установлено, имя ребенку дается по указанию матери, отчество присваивается по имени лица, записанного в качестве отца ребенка (</w:t>
      </w:r>
      <w:hyperlink r:id="rId15" w:anchor="5103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пункт 3 статьи 51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настоящего Кодекса), фамилия — по фамилии матери.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20.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21.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22. 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23. Изменение имени и(или) фамилии ребенка, достигшего возраста десяти лет, может быть произведено только с его согласия.</w:t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24. Ребенок имеет право на получение содержания от своих родителей и других членов семьи в порядке и в размерах, которые установлены </w:t>
      </w:r>
      <w:hyperlink r:id="rId16" w:anchor="500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разделом V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настоящего Кодекса.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25.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26. 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27.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28. Право ребенка на распоряжение принадлежащим ему на праве собственности имуществом определяется </w:t>
      </w:r>
      <w:hyperlink r:id="rId17" w:anchor="26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статьями 26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и </w:t>
      </w:r>
      <w:hyperlink r:id="rId18" w:anchor="28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28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Гражданского кодекса Российской Федерации.</w:t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lastRenderedPageBreak/>
        <w:t>29.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</w:t>
      </w:r>
      <w:hyperlink r:id="rId19" w:anchor="37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статья 37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Гражданского кодекса Российской Федерации).</w:t>
      </w: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br/>
        <w:t>30.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31.В случае возникновения права общей собственности родителей и детей их права на владение, пользование и распоряжение общим имуществом определяются </w:t>
      </w:r>
      <w:hyperlink r:id="rId20" w:anchor="244" w:history="1">
        <w:r w:rsidRPr="00EC020E">
          <w:rPr>
            <w:rFonts w:ascii="Helvetica" w:eastAsia="Times New Roman" w:hAnsi="Helvetica" w:cs="Helvetica"/>
            <w:color w:val="10509F"/>
            <w:sz w:val="23"/>
            <w:szCs w:val="23"/>
            <w:u w:val="single"/>
            <w:bdr w:val="none" w:sz="0" w:space="0" w:color="auto" w:frame="1"/>
            <w:lang w:eastAsia="ru-RU"/>
          </w:rPr>
          <w:t>гражданским законодательством</w:t>
        </w:r>
      </w:hyperlink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.</w:t>
      </w: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</w:p>
    <w:p w:rsidR="00EC020E" w:rsidRPr="00EC020E" w:rsidRDefault="00EC020E" w:rsidP="00EC020E">
      <w:pPr>
        <w:shd w:val="clear" w:color="auto" w:fill="FFFFFF"/>
        <w:spacing w:after="0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inherit" w:eastAsia="Times New Roman" w:hAnsi="inherit" w:cs="Helvetica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ПАМЯТКА для родителей и учащихся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РОДИТЕЛИ ОБЯЗАНЫ: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1.     Не допускать пребывания в общественных местах без их сопровождения детей и подростков в возрасте: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— до 7 лет – круглосуточно;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 xml:space="preserve">— от </w:t>
      </w:r>
      <w:proofErr w:type="gramStart"/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7  до</w:t>
      </w:r>
      <w:proofErr w:type="gramEnd"/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 xml:space="preserve"> 18 лет – от 22 часов до 6 часов.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2.     Не допускать нахождения несовершеннолетних в учебное время в интернет-залах, игровых клубах, кафе, барах, ресторанах, кинотеатрах и других развлекательных учреждениях.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3.     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НЕСОВЕРШЕННОЛЕТНИМ (ДО 18 ЛЕТ) ЗАПРЕЩАЕТСЯ: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1.     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2.     Курение табака.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3.     Участие в конкурсах красоты и других мероприятиях, связанных с демонстрацией внешности, а также других публичных мероприятиях после 22 часов.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4.     Пребывание без сопровождения родителей в организациях общественного питания, предназначенных для потребления (распития) алкогольной и спиртосодержащей продукции, пива и напитков, изготовляемых на его основе.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5.     Пребывание в игорных заведениях.</w:t>
      </w:r>
    </w:p>
    <w:p w:rsidR="00EC020E" w:rsidRPr="00EC020E" w:rsidRDefault="00EC020E" w:rsidP="00EC020E">
      <w:pPr>
        <w:shd w:val="clear" w:color="auto" w:fill="FFFFFF"/>
        <w:spacing w:before="15" w:after="15" w:line="333" w:lineRule="atLeast"/>
        <w:ind w:left="496" w:right="496"/>
        <w:jc w:val="both"/>
        <w:textAlignment w:val="baseline"/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</w:pPr>
      <w:r w:rsidRPr="00EC020E">
        <w:rPr>
          <w:rFonts w:ascii="Helvetica" w:eastAsia="Times New Roman" w:hAnsi="Helvetica" w:cs="Helvetica"/>
          <w:color w:val="111111"/>
          <w:sz w:val="23"/>
          <w:szCs w:val="23"/>
          <w:lang w:eastAsia="ru-RU"/>
        </w:rPr>
        <w:t> 6.     Нахождение во время учебного процесса в игровых клубах, интернет-залах и других развлекательных заведениях</w:t>
      </w:r>
    </w:p>
    <w:p w:rsidR="000E1CD9" w:rsidRDefault="000E1CD9"/>
    <w:sectPr w:rsidR="000E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5E2"/>
    <w:multiLevelType w:val="multilevel"/>
    <w:tmpl w:val="9C2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31BE5"/>
    <w:multiLevelType w:val="multilevel"/>
    <w:tmpl w:val="CAE0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3F086F"/>
    <w:multiLevelType w:val="multilevel"/>
    <w:tmpl w:val="801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F7E6F"/>
    <w:multiLevelType w:val="multilevel"/>
    <w:tmpl w:val="937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0E"/>
    <w:rsid w:val="000E1CD9"/>
    <w:rsid w:val="004A2E1A"/>
    <w:rsid w:val="00E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8DDE7-3FB9-4666-A14B-9ACDD03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807/11/" TargetMode="External"/><Relationship Id="rId13" Type="http://schemas.openxmlformats.org/officeDocument/2006/relationships/hyperlink" Target="http://base.garant.ru/10105807/19/" TargetMode="External"/><Relationship Id="rId18" Type="http://schemas.openxmlformats.org/officeDocument/2006/relationships/hyperlink" Target="http://base.garant.ru/10164072/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0105807/18/" TargetMode="External"/><Relationship Id="rId12" Type="http://schemas.openxmlformats.org/officeDocument/2006/relationships/hyperlink" Target="http://base.garant.ru/10105807/19/" TargetMode="External"/><Relationship Id="rId17" Type="http://schemas.openxmlformats.org/officeDocument/2006/relationships/hyperlink" Target="http://base.garant.ru/10164072/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05807/13/" TargetMode="External"/><Relationship Id="rId20" Type="http://schemas.openxmlformats.org/officeDocument/2006/relationships/hyperlink" Target="http://base.garant.ru/10164072/1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ase.garant.ru/10105807/1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0105807/10/" TargetMode="External"/><Relationship Id="rId10" Type="http://schemas.openxmlformats.org/officeDocument/2006/relationships/hyperlink" Target="http://base.garant.ru/10105807/19/" TargetMode="External"/><Relationship Id="rId19" Type="http://schemas.openxmlformats.org/officeDocument/2006/relationships/hyperlink" Target="http://base.garant.ru/10164072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5807/12/" TargetMode="External"/><Relationship Id="rId14" Type="http://schemas.openxmlformats.org/officeDocument/2006/relationships/hyperlink" Target="http://base.garant.ru/10105807/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Экзамен</cp:lastModifiedBy>
  <cp:revision>2</cp:revision>
  <dcterms:created xsi:type="dcterms:W3CDTF">2022-06-30T10:25:00Z</dcterms:created>
  <dcterms:modified xsi:type="dcterms:W3CDTF">2022-06-30T10:25:00Z</dcterms:modified>
</cp:coreProperties>
</file>